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561" w:rsidRPr="005113C3" w:rsidRDefault="00B51561" w:rsidP="00B40BC1">
      <w:pPr>
        <w:spacing w:after="240"/>
        <w:rPr>
          <w:b/>
          <w:i/>
          <w:szCs w:val="24"/>
          <w:u w:val="single"/>
        </w:rPr>
      </w:pPr>
      <w:bookmarkStart w:id="0" w:name="_GoBack"/>
      <w:bookmarkEnd w:id="0"/>
      <w:r w:rsidRPr="005113C3">
        <w:rPr>
          <w:b/>
          <w:i/>
          <w:szCs w:val="24"/>
          <w:u w:val="single"/>
        </w:rPr>
        <w:t>Important Time Sheet Reimbursement Information</w:t>
      </w:r>
    </w:p>
    <w:p w:rsidR="00B51561" w:rsidRPr="005113C3" w:rsidRDefault="009F73C6" w:rsidP="00717EAC">
      <w:pPr>
        <w:rPr>
          <w:szCs w:val="24"/>
        </w:rPr>
      </w:pPr>
      <w:r w:rsidRPr="005113C3">
        <w:rPr>
          <w:szCs w:val="24"/>
        </w:rPr>
        <w:t>The 201</w:t>
      </w:r>
      <w:r w:rsidR="00DB2267" w:rsidRPr="005113C3">
        <w:rPr>
          <w:szCs w:val="24"/>
        </w:rPr>
        <w:t>4</w:t>
      </w:r>
      <w:r w:rsidRPr="005113C3">
        <w:rPr>
          <w:szCs w:val="24"/>
        </w:rPr>
        <w:t>-</w:t>
      </w:r>
      <w:r w:rsidR="00B51561" w:rsidRPr="005113C3">
        <w:rPr>
          <w:szCs w:val="24"/>
        </w:rPr>
        <w:t>1</w:t>
      </w:r>
      <w:r w:rsidR="00DB2267" w:rsidRPr="005113C3">
        <w:rPr>
          <w:szCs w:val="24"/>
        </w:rPr>
        <w:t>5</w:t>
      </w:r>
      <w:r w:rsidR="00B51561" w:rsidRPr="005113C3">
        <w:rPr>
          <w:szCs w:val="24"/>
        </w:rPr>
        <w:t xml:space="preserve"> stat</w:t>
      </w:r>
      <w:r w:rsidR="00DB2267" w:rsidRPr="005113C3">
        <w:rPr>
          <w:szCs w:val="24"/>
        </w:rPr>
        <w:t>e fiscal year ends June 30, 2015</w:t>
      </w:r>
      <w:r w:rsidR="00B51561" w:rsidRPr="005113C3">
        <w:rPr>
          <w:szCs w:val="24"/>
        </w:rPr>
        <w:t>. It is critical to submit all 201</w:t>
      </w:r>
      <w:r w:rsidR="00DB2267" w:rsidRPr="005113C3">
        <w:rPr>
          <w:szCs w:val="24"/>
        </w:rPr>
        <w:t>4</w:t>
      </w:r>
      <w:r w:rsidR="00B51561" w:rsidRPr="005113C3">
        <w:rPr>
          <w:szCs w:val="24"/>
        </w:rPr>
        <w:t>-1</w:t>
      </w:r>
      <w:r w:rsidR="00DB2267" w:rsidRPr="005113C3">
        <w:rPr>
          <w:szCs w:val="24"/>
        </w:rPr>
        <w:t>5</w:t>
      </w:r>
      <w:r w:rsidR="00B51561" w:rsidRPr="005113C3">
        <w:rPr>
          <w:szCs w:val="24"/>
        </w:rPr>
        <w:t xml:space="preserve"> (7/1/1</w:t>
      </w:r>
      <w:r w:rsidR="00DB2267" w:rsidRPr="005113C3">
        <w:rPr>
          <w:szCs w:val="24"/>
        </w:rPr>
        <w:t>4</w:t>
      </w:r>
      <w:r w:rsidR="00B51561" w:rsidRPr="005113C3">
        <w:rPr>
          <w:szCs w:val="24"/>
        </w:rPr>
        <w:t xml:space="preserve"> - 6/30/1</w:t>
      </w:r>
      <w:r w:rsidR="00DB2267" w:rsidRPr="005113C3">
        <w:rPr>
          <w:szCs w:val="24"/>
        </w:rPr>
        <w:t>5</w:t>
      </w:r>
      <w:r w:rsidR="00B51561" w:rsidRPr="005113C3">
        <w:rPr>
          <w:szCs w:val="24"/>
        </w:rPr>
        <w:t>) time sheets to the college you hired from by the deadline established by the college or July 10, 201</w:t>
      </w:r>
      <w:r w:rsidR="00DB2267" w:rsidRPr="005113C3">
        <w:rPr>
          <w:szCs w:val="24"/>
        </w:rPr>
        <w:t>5</w:t>
      </w:r>
      <w:r w:rsidR="00B51561" w:rsidRPr="005113C3">
        <w:rPr>
          <w:szCs w:val="24"/>
        </w:rPr>
        <w:t xml:space="preserve">, whichever is earlier. Time sheets turned in more than 15 days after the end of </w:t>
      </w:r>
      <w:r w:rsidR="00DB2267" w:rsidRPr="005113C3">
        <w:rPr>
          <w:szCs w:val="24"/>
        </w:rPr>
        <w:t>the pay period</w:t>
      </w:r>
      <w:r w:rsidR="00F67AE7">
        <w:rPr>
          <w:szCs w:val="24"/>
        </w:rPr>
        <w:t>—</w:t>
      </w:r>
      <w:r w:rsidR="00DB2267" w:rsidRPr="005113C3">
        <w:rPr>
          <w:szCs w:val="24"/>
        </w:rPr>
        <w:t>or July 10, 2015</w:t>
      </w:r>
      <w:r w:rsidR="00F67AE7">
        <w:rPr>
          <w:szCs w:val="24"/>
        </w:rPr>
        <w:t>,</w:t>
      </w:r>
      <w:r w:rsidR="00B51561" w:rsidRPr="005113C3">
        <w:rPr>
          <w:szCs w:val="24"/>
        </w:rPr>
        <w:t xml:space="preserve"> for hours worked in June</w:t>
      </w:r>
      <w:r w:rsidR="00F67AE7">
        <w:rPr>
          <w:szCs w:val="24"/>
        </w:rPr>
        <w:t>—</w:t>
      </w:r>
      <w:r w:rsidR="00B51561" w:rsidRPr="005113C3">
        <w:rPr>
          <w:szCs w:val="24"/>
        </w:rPr>
        <w:t xml:space="preserve">could result in delay or denial of reimbursement. If your pay period crosses over the state fiscal year, you must submit separate time sheets for June and July hours. For example, you must submit two time sheets for the pay period </w:t>
      </w:r>
      <w:r w:rsidR="004D090F" w:rsidRPr="005113C3">
        <w:rPr>
          <w:szCs w:val="24"/>
        </w:rPr>
        <w:t>June 5 through July 4 (6/5/1</w:t>
      </w:r>
      <w:r w:rsidR="00DB2267" w:rsidRPr="005113C3">
        <w:rPr>
          <w:szCs w:val="24"/>
        </w:rPr>
        <w:t>5</w:t>
      </w:r>
      <w:r w:rsidR="004D090F" w:rsidRPr="005113C3">
        <w:rPr>
          <w:szCs w:val="24"/>
        </w:rPr>
        <w:t xml:space="preserve"> – 6/30/1</w:t>
      </w:r>
      <w:r w:rsidR="00DB2267" w:rsidRPr="005113C3">
        <w:rPr>
          <w:szCs w:val="24"/>
        </w:rPr>
        <w:t>5</w:t>
      </w:r>
      <w:r w:rsidR="00472868" w:rsidRPr="005113C3">
        <w:rPr>
          <w:szCs w:val="24"/>
        </w:rPr>
        <w:t xml:space="preserve"> </w:t>
      </w:r>
      <w:r w:rsidR="004D090F" w:rsidRPr="005113C3">
        <w:rPr>
          <w:szCs w:val="24"/>
        </w:rPr>
        <w:t>and 7/1/1</w:t>
      </w:r>
      <w:r w:rsidR="00DB2267" w:rsidRPr="005113C3">
        <w:rPr>
          <w:szCs w:val="24"/>
        </w:rPr>
        <w:t>5</w:t>
      </w:r>
      <w:r w:rsidR="004D090F" w:rsidRPr="005113C3">
        <w:rPr>
          <w:szCs w:val="24"/>
        </w:rPr>
        <w:t xml:space="preserve"> – 7/</w:t>
      </w:r>
      <w:r w:rsidR="00B51561" w:rsidRPr="005113C3">
        <w:rPr>
          <w:szCs w:val="24"/>
        </w:rPr>
        <w:t>4/1</w:t>
      </w:r>
      <w:r w:rsidR="00DB2267" w:rsidRPr="005113C3">
        <w:rPr>
          <w:szCs w:val="24"/>
        </w:rPr>
        <w:t>5</w:t>
      </w:r>
      <w:r w:rsidR="00B51561" w:rsidRPr="005113C3">
        <w:rPr>
          <w:szCs w:val="24"/>
        </w:rPr>
        <w:t>).</w:t>
      </w:r>
    </w:p>
    <w:p w:rsidR="00717EAC" w:rsidRPr="005113C3" w:rsidRDefault="00717EAC" w:rsidP="00717EAC">
      <w:pPr>
        <w:rPr>
          <w:szCs w:val="24"/>
        </w:rPr>
      </w:pPr>
    </w:p>
    <w:p w:rsidR="0005196C" w:rsidRPr="005113C3" w:rsidRDefault="00DB2267" w:rsidP="0005196C">
      <w:pPr>
        <w:spacing w:after="240"/>
        <w:rPr>
          <w:b/>
          <w:i/>
          <w:szCs w:val="24"/>
          <w:u w:val="single"/>
        </w:rPr>
      </w:pPr>
      <w:r w:rsidRPr="005113C3">
        <w:rPr>
          <w:b/>
          <w:i/>
          <w:szCs w:val="24"/>
          <w:u w:val="single"/>
        </w:rPr>
        <w:t>2015</w:t>
      </w:r>
      <w:r w:rsidR="0005196C" w:rsidRPr="005113C3">
        <w:rPr>
          <w:b/>
          <w:i/>
          <w:szCs w:val="24"/>
          <w:u w:val="single"/>
        </w:rPr>
        <w:t xml:space="preserve"> Legislative Session</w:t>
      </w:r>
    </w:p>
    <w:p w:rsidR="008D2DF5" w:rsidRPr="005113C3" w:rsidRDefault="008D2DF5" w:rsidP="008D2DF5">
      <w:pPr>
        <w:pStyle w:val="Default"/>
      </w:pPr>
      <w:r w:rsidRPr="005113C3">
        <w:t>The 2015 regular legislative session ended on April 26, 2015</w:t>
      </w:r>
      <w:r w:rsidR="00F67AE7">
        <w:t>,</w:t>
      </w:r>
      <w:r w:rsidRPr="005113C3">
        <w:t xml:space="preserve"> without a final</w:t>
      </w:r>
      <w:r w:rsidR="001C45DB">
        <w:t xml:space="preserve"> operating budget being passed.</w:t>
      </w:r>
      <w:r w:rsidRPr="005113C3">
        <w:t xml:space="preserve"> A 30-d</w:t>
      </w:r>
      <w:r w:rsidR="001C45DB">
        <w:t>ay Special Session began on April 29</w:t>
      </w:r>
      <w:r w:rsidRPr="005113C3">
        <w:t>, 2015</w:t>
      </w:r>
      <w:r w:rsidR="00CE466C">
        <w:t>,</w:t>
      </w:r>
      <w:r w:rsidRPr="005113C3">
        <w:t xml:space="preserve"> with the passage of a final operating budget as a top priority.</w:t>
      </w:r>
    </w:p>
    <w:p w:rsidR="008D2DF5" w:rsidRPr="005113C3" w:rsidRDefault="008D2DF5" w:rsidP="008D2DF5">
      <w:pPr>
        <w:pStyle w:val="Default"/>
      </w:pPr>
    </w:p>
    <w:p w:rsidR="008D2DF5" w:rsidRPr="005113C3" w:rsidRDefault="008D2DF5" w:rsidP="008D2DF5">
      <w:pPr>
        <w:pStyle w:val="Default"/>
      </w:pPr>
      <w:r w:rsidRPr="005113C3">
        <w:t>Despite the budgetary uncertainty, both the House and Senate proposed budgets maintain flat funding for the State Work Study (SWS) program in 2015-16</w:t>
      </w:r>
      <w:r w:rsidR="001C45DB">
        <w:t xml:space="preserve"> at approximately $7.8 million.</w:t>
      </w:r>
      <w:r w:rsidRPr="005113C3">
        <w:t xml:space="preserve"> SWS policy changes are not anticipated</w:t>
      </w:r>
      <w:r w:rsidR="00F67AE7">
        <w:t>,</w:t>
      </w:r>
      <w:r w:rsidRPr="005113C3">
        <w:t xml:space="preserve"> as both proposed budgets reaffirm recent policy changes but do not</w:t>
      </w:r>
      <w:r w:rsidR="001C45DB">
        <w:t xml:space="preserve"> include new policy directives.</w:t>
      </w:r>
      <w:r w:rsidRPr="005113C3">
        <w:t xml:space="preserve"> The Washington Student Achievement Council (WSAC) does not anticipate significant changes in SWS policy or operations in 2015-</w:t>
      </w:r>
      <w:r w:rsidR="001C45DB">
        <w:t>16 that would impact employers.</w:t>
      </w:r>
      <w:r w:rsidRPr="005113C3">
        <w:t xml:space="preserve"> If unanticipated changes are included in the final passed budget, WSAC will contact SWS employers with updated information at that time.</w:t>
      </w:r>
    </w:p>
    <w:p w:rsidR="00DE62BC" w:rsidRPr="005113C3" w:rsidRDefault="00DE62BC" w:rsidP="00C00EF5">
      <w:pPr>
        <w:pStyle w:val="Default"/>
      </w:pPr>
    </w:p>
    <w:p w:rsidR="00DE62BC" w:rsidRPr="005113C3" w:rsidRDefault="00DE62BC" w:rsidP="00B40BC1">
      <w:pPr>
        <w:spacing w:after="240"/>
        <w:rPr>
          <w:b/>
          <w:i/>
          <w:szCs w:val="24"/>
          <w:u w:val="single"/>
        </w:rPr>
      </w:pPr>
      <w:r w:rsidRPr="005113C3">
        <w:rPr>
          <w:b/>
          <w:i/>
          <w:szCs w:val="24"/>
          <w:u w:val="single"/>
        </w:rPr>
        <w:t>Reimbursement Rates</w:t>
      </w:r>
    </w:p>
    <w:p w:rsidR="00DE62BC" w:rsidRPr="005113C3" w:rsidRDefault="00DE62BC" w:rsidP="00B40BC1">
      <w:pPr>
        <w:spacing w:after="240"/>
        <w:rPr>
          <w:szCs w:val="24"/>
        </w:rPr>
      </w:pPr>
      <w:r w:rsidRPr="005113C3">
        <w:rPr>
          <w:szCs w:val="24"/>
        </w:rPr>
        <w:t>Reimbursement rates</w:t>
      </w:r>
      <w:r w:rsidR="0005196C" w:rsidRPr="005113C3">
        <w:rPr>
          <w:szCs w:val="24"/>
        </w:rPr>
        <w:t xml:space="preserve"> are unchanged and</w:t>
      </w:r>
      <w:r w:rsidRPr="005113C3">
        <w:rPr>
          <w:szCs w:val="24"/>
        </w:rPr>
        <w:t xml:space="preserve"> are based on the following employer types:</w:t>
      </w:r>
    </w:p>
    <w:tbl>
      <w:tblPr>
        <w:tblStyle w:val="TableGrid"/>
        <w:tblW w:w="0" w:type="auto"/>
        <w:tblLook w:val="04A0" w:firstRow="1" w:lastRow="0" w:firstColumn="1" w:lastColumn="0" w:noHBand="0" w:noVBand="1"/>
      </w:tblPr>
      <w:tblGrid>
        <w:gridCol w:w="5026"/>
        <w:gridCol w:w="5044"/>
      </w:tblGrid>
      <w:tr w:rsidR="00DE62BC" w:rsidRPr="00EE60CE" w:rsidTr="009252B1">
        <w:tc>
          <w:tcPr>
            <w:tcW w:w="5148" w:type="dxa"/>
            <w:vAlign w:val="center"/>
          </w:tcPr>
          <w:p w:rsidR="00DE62BC" w:rsidRPr="00EE60CE" w:rsidRDefault="00DE62BC" w:rsidP="009252B1">
            <w:pPr>
              <w:spacing w:before="120" w:after="120"/>
              <w:jc w:val="center"/>
              <w:rPr>
                <w:b/>
                <w:sz w:val="28"/>
                <w:szCs w:val="28"/>
              </w:rPr>
            </w:pPr>
            <w:r w:rsidRPr="00EE60CE">
              <w:rPr>
                <w:b/>
                <w:sz w:val="28"/>
                <w:szCs w:val="28"/>
              </w:rPr>
              <w:t>Employer Type</w:t>
            </w:r>
          </w:p>
        </w:tc>
        <w:tc>
          <w:tcPr>
            <w:tcW w:w="5148" w:type="dxa"/>
            <w:vAlign w:val="center"/>
          </w:tcPr>
          <w:p w:rsidR="00DE62BC" w:rsidRPr="00EE60CE" w:rsidRDefault="00DE62BC" w:rsidP="009252B1">
            <w:pPr>
              <w:spacing w:before="120" w:after="120"/>
              <w:jc w:val="center"/>
              <w:rPr>
                <w:b/>
                <w:sz w:val="28"/>
                <w:szCs w:val="28"/>
              </w:rPr>
            </w:pPr>
            <w:r w:rsidRPr="00EE60CE">
              <w:rPr>
                <w:b/>
                <w:sz w:val="28"/>
                <w:szCs w:val="28"/>
              </w:rPr>
              <w:t>Reimbursement Rate</w:t>
            </w:r>
          </w:p>
        </w:tc>
      </w:tr>
      <w:tr w:rsidR="00DE62BC" w:rsidTr="009252B1">
        <w:tc>
          <w:tcPr>
            <w:tcW w:w="5148" w:type="dxa"/>
            <w:vAlign w:val="center"/>
          </w:tcPr>
          <w:p w:rsidR="00DE62BC" w:rsidRDefault="00DE62BC" w:rsidP="009252B1">
            <w:pPr>
              <w:spacing w:before="120" w:after="120"/>
              <w:jc w:val="center"/>
              <w:rPr>
                <w:szCs w:val="24"/>
              </w:rPr>
            </w:pPr>
            <w:r>
              <w:rPr>
                <w:szCs w:val="24"/>
              </w:rPr>
              <w:t>For Profit</w:t>
            </w:r>
          </w:p>
        </w:tc>
        <w:tc>
          <w:tcPr>
            <w:tcW w:w="5148" w:type="dxa"/>
            <w:vAlign w:val="center"/>
          </w:tcPr>
          <w:p w:rsidR="00DE62BC" w:rsidRDefault="00DE62BC" w:rsidP="009252B1">
            <w:pPr>
              <w:spacing w:before="120" w:after="120"/>
              <w:jc w:val="center"/>
              <w:rPr>
                <w:szCs w:val="24"/>
              </w:rPr>
            </w:pPr>
            <w:r>
              <w:rPr>
                <w:szCs w:val="24"/>
              </w:rPr>
              <w:t>40%</w:t>
            </w:r>
          </w:p>
        </w:tc>
      </w:tr>
      <w:tr w:rsidR="00DE62BC" w:rsidTr="009252B1">
        <w:tc>
          <w:tcPr>
            <w:tcW w:w="5148" w:type="dxa"/>
            <w:vAlign w:val="center"/>
          </w:tcPr>
          <w:p w:rsidR="00DE62BC" w:rsidRDefault="00DE62BC" w:rsidP="009252B1">
            <w:pPr>
              <w:spacing w:before="120"/>
              <w:jc w:val="center"/>
              <w:rPr>
                <w:szCs w:val="24"/>
              </w:rPr>
            </w:pPr>
            <w:r>
              <w:rPr>
                <w:szCs w:val="24"/>
              </w:rPr>
              <w:t>Governmental Agency</w:t>
            </w:r>
          </w:p>
          <w:p w:rsidR="00DE62BC" w:rsidRDefault="00DE62BC" w:rsidP="009252B1">
            <w:pPr>
              <w:jc w:val="center"/>
              <w:rPr>
                <w:szCs w:val="24"/>
              </w:rPr>
            </w:pPr>
            <w:r>
              <w:rPr>
                <w:szCs w:val="24"/>
              </w:rPr>
              <w:t>Private College</w:t>
            </w:r>
          </w:p>
          <w:p w:rsidR="00DE62BC" w:rsidRDefault="00DE62BC" w:rsidP="009252B1">
            <w:pPr>
              <w:spacing w:after="120"/>
              <w:jc w:val="center"/>
              <w:rPr>
                <w:szCs w:val="24"/>
              </w:rPr>
            </w:pPr>
            <w:r>
              <w:rPr>
                <w:szCs w:val="24"/>
              </w:rPr>
              <w:lastRenderedPageBreak/>
              <w:t>Public College</w:t>
            </w:r>
          </w:p>
        </w:tc>
        <w:tc>
          <w:tcPr>
            <w:tcW w:w="5148" w:type="dxa"/>
            <w:vAlign w:val="center"/>
          </w:tcPr>
          <w:p w:rsidR="00DE62BC" w:rsidRDefault="00DE62BC" w:rsidP="009252B1">
            <w:pPr>
              <w:spacing w:before="120" w:after="120"/>
              <w:jc w:val="center"/>
              <w:rPr>
                <w:szCs w:val="24"/>
              </w:rPr>
            </w:pPr>
            <w:r>
              <w:rPr>
                <w:szCs w:val="24"/>
              </w:rPr>
              <w:lastRenderedPageBreak/>
              <w:t>60%</w:t>
            </w:r>
          </w:p>
        </w:tc>
      </w:tr>
      <w:tr w:rsidR="00DE62BC" w:rsidTr="009252B1">
        <w:tc>
          <w:tcPr>
            <w:tcW w:w="5148" w:type="dxa"/>
            <w:vAlign w:val="center"/>
          </w:tcPr>
          <w:p w:rsidR="00DE62BC" w:rsidRDefault="00DE62BC" w:rsidP="009252B1">
            <w:pPr>
              <w:spacing w:before="120"/>
              <w:jc w:val="center"/>
              <w:rPr>
                <w:szCs w:val="24"/>
              </w:rPr>
            </w:pPr>
            <w:r>
              <w:rPr>
                <w:szCs w:val="24"/>
              </w:rPr>
              <w:lastRenderedPageBreak/>
              <w:t>Non</w:t>
            </w:r>
            <w:r w:rsidR="00F67AE7">
              <w:rPr>
                <w:szCs w:val="24"/>
              </w:rPr>
              <w:t>p</w:t>
            </w:r>
            <w:r>
              <w:rPr>
                <w:szCs w:val="24"/>
              </w:rPr>
              <w:t>rofit Community Service Provider</w:t>
            </w:r>
          </w:p>
          <w:p w:rsidR="00DE62BC" w:rsidRDefault="00DE62BC" w:rsidP="009252B1">
            <w:pPr>
              <w:jc w:val="center"/>
              <w:rPr>
                <w:szCs w:val="24"/>
              </w:rPr>
            </w:pPr>
            <w:r>
              <w:rPr>
                <w:szCs w:val="24"/>
              </w:rPr>
              <w:t>School District</w:t>
            </w:r>
          </w:p>
          <w:p w:rsidR="00DE62BC" w:rsidRDefault="00DE62BC" w:rsidP="009252B1">
            <w:pPr>
              <w:spacing w:after="120"/>
              <w:jc w:val="center"/>
              <w:rPr>
                <w:szCs w:val="24"/>
              </w:rPr>
            </w:pPr>
            <w:r>
              <w:rPr>
                <w:szCs w:val="24"/>
              </w:rPr>
              <w:t>STEM*</w:t>
            </w:r>
          </w:p>
        </w:tc>
        <w:tc>
          <w:tcPr>
            <w:tcW w:w="5148" w:type="dxa"/>
            <w:vAlign w:val="center"/>
          </w:tcPr>
          <w:p w:rsidR="00DE62BC" w:rsidRDefault="00DE62BC" w:rsidP="009252B1">
            <w:pPr>
              <w:spacing w:before="120" w:after="120"/>
              <w:jc w:val="center"/>
              <w:rPr>
                <w:szCs w:val="24"/>
              </w:rPr>
            </w:pPr>
            <w:r>
              <w:rPr>
                <w:szCs w:val="24"/>
              </w:rPr>
              <w:t>70%</w:t>
            </w:r>
          </w:p>
        </w:tc>
      </w:tr>
    </w:tbl>
    <w:p w:rsidR="00DE62BC" w:rsidRDefault="00DE62BC" w:rsidP="0005196C">
      <w:pPr>
        <w:jc w:val="center"/>
        <w:rPr>
          <w:i/>
          <w:sz w:val="16"/>
          <w:szCs w:val="16"/>
        </w:rPr>
      </w:pPr>
      <w:r w:rsidRPr="00717EAC">
        <w:rPr>
          <w:i/>
          <w:sz w:val="16"/>
          <w:szCs w:val="16"/>
        </w:rPr>
        <w:t>*Off-</w:t>
      </w:r>
      <w:r w:rsidR="00F67AE7">
        <w:rPr>
          <w:i/>
          <w:sz w:val="16"/>
          <w:szCs w:val="16"/>
        </w:rPr>
        <w:t>c</w:t>
      </w:r>
      <w:r w:rsidRPr="00717EAC">
        <w:rPr>
          <w:i/>
          <w:sz w:val="16"/>
          <w:szCs w:val="16"/>
        </w:rPr>
        <w:t xml:space="preserve">ampus employers whose primary business activity is in the field of </w:t>
      </w:r>
      <w:r w:rsidRPr="00717EAC">
        <w:rPr>
          <w:b/>
          <w:i/>
          <w:sz w:val="16"/>
          <w:szCs w:val="16"/>
        </w:rPr>
        <w:t>S</w:t>
      </w:r>
      <w:r w:rsidRPr="00717EAC">
        <w:rPr>
          <w:i/>
          <w:sz w:val="16"/>
          <w:szCs w:val="16"/>
        </w:rPr>
        <w:t xml:space="preserve">cience, </w:t>
      </w:r>
      <w:r w:rsidRPr="00717EAC">
        <w:rPr>
          <w:b/>
          <w:i/>
          <w:sz w:val="16"/>
          <w:szCs w:val="16"/>
        </w:rPr>
        <w:t>T</w:t>
      </w:r>
      <w:r w:rsidRPr="00717EAC">
        <w:rPr>
          <w:i/>
          <w:sz w:val="16"/>
          <w:szCs w:val="16"/>
        </w:rPr>
        <w:t xml:space="preserve">echnology, </w:t>
      </w:r>
      <w:r w:rsidRPr="00717EAC">
        <w:rPr>
          <w:b/>
          <w:i/>
          <w:sz w:val="16"/>
          <w:szCs w:val="16"/>
        </w:rPr>
        <w:t>E</w:t>
      </w:r>
      <w:r w:rsidRPr="00717EAC">
        <w:rPr>
          <w:i/>
          <w:sz w:val="16"/>
          <w:szCs w:val="16"/>
        </w:rPr>
        <w:t xml:space="preserve">ngineering, and/or </w:t>
      </w:r>
      <w:r w:rsidRPr="00717EAC">
        <w:rPr>
          <w:b/>
          <w:i/>
          <w:sz w:val="16"/>
          <w:szCs w:val="16"/>
        </w:rPr>
        <w:t>M</w:t>
      </w:r>
      <w:r w:rsidRPr="00717EAC">
        <w:rPr>
          <w:i/>
          <w:sz w:val="16"/>
          <w:szCs w:val="16"/>
        </w:rPr>
        <w:t>athematics (STEM).</w:t>
      </w:r>
    </w:p>
    <w:p w:rsidR="0005196C" w:rsidRPr="0005196C" w:rsidRDefault="0005196C" w:rsidP="0005196C">
      <w:pPr>
        <w:rPr>
          <w:szCs w:val="24"/>
        </w:rPr>
      </w:pPr>
    </w:p>
    <w:p w:rsidR="0005196C" w:rsidRPr="005113C3" w:rsidRDefault="0005196C" w:rsidP="0005196C">
      <w:pPr>
        <w:spacing w:after="240"/>
        <w:rPr>
          <w:b/>
          <w:i/>
          <w:szCs w:val="24"/>
          <w:u w:val="single"/>
        </w:rPr>
      </w:pPr>
      <w:r w:rsidRPr="005113C3">
        <w:rPr>
          <w:b/>
          <w:i/>
          <w:szCs w:val="24"/>
          <w:u w:val="single"/>
        </w:rPr>
        <w:t>Contact Information</w:t>
      </w:r>
    </w:p>
    <w:p w:rsidR="00010CDF" w:rsidRPr="005113C3" w:rsidRDefault="00010CDF" w:rsidP="00010CDF">
      <w:pPr>
        <w:rPr>
          <w:szCs w:val="24"/>
        </w:rPr>
      </w:pPr>
      <w:r w:rsidRPr="005113C3">
        <w:rPr>
          <w:b/>
          <w:szCs w:val="24"/>
        </w:rPr>
        <w:t>Phone:</w:t>
      </w:r>
      <w:r>
        <w:rPr>
          <w:szCs w:val="24"/>
        </w:rPr>
        <w:tab/>
      </w:r>
      <w:r w:rsidRPr="005113C3">
        <w:rPr>
          <w:szCs w:val="24"/>
        </w:rPr>
        <w:t>(360) 753-7848</w:t>
      </w:r>
      <w:r>
        <w:rPr>
          <w:szCs w:val="24"/>
        </w:rPr>
        <w:tab/>
      </w:r>
      <w:r w:rsidR="00A42148">
        <w:rPr>
          <w:szCs w:val="24"/>
        </w:rPr>
        <w:tab/>
      </w:r>
      <w:r w:rsidRPr="005113C3">
        <w:rPr>
          <w:b/>
          <w:szCs w:val="24"/>
        </w:rPr>
        <w:t>Address:</w:t>
      </w:r>
      <w:r w:rsidRPr="005113C3">
        <w:rPr>
          <w:b/>
          <w:szCs w:val="24"/>
        </w:rPr>
        <w:tab/>
      </w:r>
      <w:r w:rsidRPr="005113C3">
        <w:rPr>
          <w:szCs w:val="24"/>
        </w:rPr>
        <w:t>Washington Student Achievement Council</w:t>
      </w:r>
    </w:p>
    <w:p w:rsidR="00010CDF" w:rsidRPr="005113C3" w:rsidRDefault="00010CDF" w:rsidP="00010CDF">
      <w:pPr>
        <w:rPr>
          <w:szCs w:val="24"/>
        </w:rPr>
      </w:pPr>
      <w:r w:rsidRPr="005113C3">
        <w:rPr>
          <w:b/>
          <w:szCs w:val="24"/>
        </w:rPr>
        <w:t>Fax:</w:t>
      </w:r>
      <w:r w:rsidRPr="005113C3">
        <w:rPr>
          <w:szCs w:val="24"/>
        </w:rPr>
        <w:tab/>
      </w:r>
      <w:r w:rsidRPr="005113C3">
        <w:rPr>
          <w:szCs w:val="24"/>
        </w:rPr>
        <w:tab/>
        <w:t>1-855-480-8718</w:t>
      </w:r>
      <w:r>
        <w:rPr>
          <w:szCs w:val="24"/>
        </w:rPr>
        <w:tab/>
      </w:r>
      <w:r>
        <w:rPr>
          <w:szCs w:val="24"/>
        </w:rPr>
        <w:tab/>
      </w:r>
      <w:r>
        <w:rPr>
          <w:szCs w:val="24"/>
        </w:rPr>
        <w:tab/>
      </w:r>
      <w:r w:rsidR="00A42148">
        <w:rPr>
          <w:szCs w:val="24"/>
        </w:rPr>
        <w:tab/>
      </w:r>
      <w:r w:rsidRPr="005113C3">
        <w:rPr>
          <w:szCs w:val="24"/>
        </w:rPr>
        <w:t>State Work Study</w:t>
      </w:r>
    </w:p>
    <w:p w:rsidR="00010CDF" w:rsidRPr="005113C3" w:rsidRDefault="00010CDF" w:rsidP="00010CDF">
      <w:pPr>
        <w:rPr>
          <w:szCs w:val="24"/>
        </w:rPr>
      </w:pPr>
      <w:r w:rsidRPr="005113C3">
        <w:rPr>
          <w:b/>
          <w:szCs w:val="24"/>
        </w:rPr>
        <w:t>Email:</w:t>
      </w:r>
      <w:r w:rsidRPr="005113C3">
        <w:rPr>
          <w:szCs w:val="24"/>
        </w:rPr>
        <w:tab/>
      </w:r>
      <w:r w:rsidRPr="005113C3">
        <w:rPr>
          <w:szCs w:val="24"/>
        </w:rPr>
        <w:tab/>
      </w:r>
      <w:hyperlink r:id="rId8" w:history="1">
        <w:r w:rsidRPr="005113C3">
          <w:rPr>
            <w:rStyle w:val="Hyperlink"/>
            <w:szCs w:val="24"/>
          </w:rPr>
          <w:t>sws@wsac.wa.gov</w:t>
        </w:r>
      </w:hyperlink>
      <w:r>
        <w:rPr>
          <w:rStyle w:val="Hyperlink"/>
          <w:szCs w:val="24"/>
          <w:u w:val="none"/>
        </w:rPr>
        <w:tab/>
      </w:r>
      <w:r>
        <w:rPr>
          <w:rStyle w:val="Hyperlink"/>
          <w:szCs w:val="24"/>
          <w:u w:val="none"/>
        </w:rPr>
        <w:tab/>
      </w:r>
      <w:r>
        <w:rPr>
          <w:rStyle w:val="Hyperlink"/>
          <w:szCs w:val="24"/>
          <w:u w:val="none"/>
        </w:rPr>
        <w:tab/>
      </w:r>
      <w:r w:rsidR="00A42148">
        <w:rPr>
          <w:rStyle w:val="Hyperlink"/>
          <w:szCs w:val="24"/>
          <w:u w:val="none"/>
        </w:rPr>
        <w:tab/>
      </w:r>
      <w:r w:rsidRPr="005113C3">
        <w:rPr>
          <w:szCs w:val="24"/>
        </w:rPr>
        <w:t>PO Box 43430</w:t>
      </w:r>
      <w:r>
        <w:rPr>
          <w:szCs w:val="24"/>
        </w:rPr>
        <w:tab/>
      </w:r>
    </w:p>
    <w:p w:rsidR="00010CDF" w:rsidRPr="00010CDF" w:rsidRDefault="00010CDF" w:rsidP="001C45DB">
      <w:pPr>
        <w:rPr>
          <w:szCs w:val="24"/>
        </w:rPr>
      </w:pPr>
      <w:r>
        <w:rPr>
          <w:b/>
          <w:szCs w:val="24"/>
        </w:rPr>
        <w:t>Website:</w:t>
      </w:r>
      <w:r>
        <w:rPr>
          <w:b/>
          <w:szCs w:val="24"/>
        </w:rPr>
        <w:tab/>
      </w:r>
      <w:hyperlink r:id="rId9" w:history="1">
        <w:r w:rsidRPr="005113C3">
          <w:rPr>
            <w:rStyle w:val="Hyperlink"/>
            <w:szCs w:val="24"/>
          </w:rPr>
          <w:t>www.wsac.wa.gov/employers</w:t>
        </w:r>
      </w:hyperlink>
      <w:r>
        <w:rPr>
          <w:rStyle w:val="Hyperlink"/>
          <w:szCs w:val="24"/>
          <w:u w:val="none"/>
        </w:rPr>
        <w:tab/>
      </w:r>
      <w:r w:rsidR="00A42148">
        <w:rPr>
          <w:rStyle w:val="Hyperlink"/>
          <w:szCs w:val="24"/>
          <w:u w:val="none"/>
        </w:rPr>
        <w:tab/>
      </w:r>
      <w:r w:rsidRPr="005113C3">
        <w:rPr>
          <w:szCs w:val="24"/>
        </w:rPr>
        <w:t>Olympia, WA  98504-3430</w:t>
      </w:r>
    </w:p>
    <w:sectPr w:rsidR="00010CDF" w:rsidRPr="00010CDF" w:rsidSect="0091668B">
      <w:footerReference w:type="default" r:id="rId10"/>
      <w:headerReference w:type="first" r:id="rId11"/>
      <w:footerReference w:type="first" r:id="rId12"/>
      <w:type w:val="evenPage"/>
      <w:pgSz w:w="12240" w:h="15840" w:code="1"/>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58" w:rsidRDefault="00755458" w:rsidP="00E447A5">
      <w:r>
        <w:separator/>
      </w:r>
    </w:p>
  </w:endnote>
  <w:endnote w:type="continuationSeparator" w:id="0">
    <w:p w:rsidR="00755458" w:rsidRDefault="00755458" w:rsidP="00E4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8F3" w:rsidRPr="00932978" w:rsidRDefault="007408F3" w:rsidP="00356B1A">
    <w:pPr>
      <w:pStyle w:val="Footer"/>
      <w:jc w:val="right"/>
      <w:rPr>
        <w:b/>
        <w:smallCaps/>
        <w:sz w:val="20"/>
        <w:szCs w:val="20"/>
      </w:rPr>
    </w:pPr>
    <w:r w:rsidRPr="00932978">
      <w:rPr>
        <w:b/>
        <w:smallCaps/>
        <w:sz w:val="20"/>
        <w:szCs w:val="20"/>
      </w:rPr>
      <w:t>May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918" w:rsidRDefault="009F73C6" w:rsidP="00314918">
    <w:pPr>
      <w:pStyle w:val="Footer"/>
      <w:jc w:val="right"/>
    </w:pPr>
    <w:r>
      <w:t>May 201</w:t>
    </w:r>
    <w:r w:rsidR="00472868">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58" w:rsidRDefault="00755458" w:rsidP="00E447A5">
      <w:r>
        <w:separator/>
      </w:r>
    </w:p>
  </w:footnote>
  <w:footnote w:type="continuationSeparator" w:id="0">
    <w:p w:rsidR="00755458" w:rsidRDefault="00755458" w:rsidP="00E44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EB" w:rsidRPr="00536621" w:rsidRDefault="00ED31EB" w:rsidP="00ED31EB">
    <w:pPr>
      <w:pStyle w:val="Header"/>
      <w:spacing w:after="360"/>
      <w:jc w:val="center"/>
      <w:rPr>
        <w:b/>
        <w:i/>
        <w:sz w:val="40"/>
        <w:szCs w:val="40"/>
      </w:rPr>
    </w:pPr>
    <w:r w:rsidRPr="00536621">
      <w:rPr>
        <w:b/>
        <w:i/>
        <w:sz w:val="40"/>
        <w:szCs w:val="40"/>
      </w:rPr>
      <w:t>State Work Study Employer Update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3495"/>
    <w:multiLevelType w:val="hybridMultilevel"/>
    <w:tmpl w:val="08888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741886"/>
    <w:multiLevelType w:val="hybridMultilevel"/>
    <w:tmpl w:val="E80E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329C1"/>
    <w:multiLevelType w:val="hybridMultilevel"/>
    <w:tmpl w:val="338CE4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27C74E4"/>
    <w:multiLevelType w:val="hybridMultilevel"/>
    <w:tmpl w:val="02BA1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65C44"/>
    <w:multiLevelType w:val="hybridMultilevel"/>
    <w:tmpl w:val="E8745F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A9946F9"/>
    <w:multiLevelType w:val="hybridMultilevel"/>
    <w:tmpl w:val="253A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2914BF"/>
    <w:multiLevelType w:val="hybridMultilevel"/>
    <w:tmpl w:val="2EB8B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proofState w:spelling="clean" w:grammar="clean"/>
  <w:defaultTabStop w:val="720"/>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A5"/>
    <w:rsid w:val="000005A0"/>
    <w:rsid w:val="00010CDF"/>
    <w:rsid w:val="00014B20"/>
    <w:rsid w:val="0005196C"/>
    <w:rsid w:val="000A29DC"/>
    <w:rsid w:val="00100C9E"/>
    <w:rsid w:val="001133CB"/>
    <w:rsid w:val="00123BE3"/>
    <w:rsid w:val="00152C6E"/>
    <w:rsid w:val="00191F28"/>
    <w:rsid w:val="001C1224"/>
    <w:rsid w:val="001C45DB"/>
    <w:rsid w:val="001F1832"/>
    <w:rsid w:val="0024129D"/>
    <w:rsid w:val="0024713D"/>
    <w:rsid w:val="002D59C8"/>
    <w:rsid w:val="002F1EBB"/>
    <w:rsid w:val="00314918"/>
    <w:rsid w:val="00356B1A"/>
    <w:rsid w:val="003763D1"/>
    <w:rsid w:val="00391795"/>
    <w:rsid w:val="00396419"/>
    <w:rsid w:val="003C02B5"/>
    <w:rsid w:val="003D6FA4"/>
    <w:rsid w:val="003F7D17"/>
    <w:rsid w:val="00414860"/>
    <w:rsid w:val="00421B45"/>
    <w:rsid w:val="004437D0"/>
    <w:rsid w:val="00450B83"/>
    <w:rsid w:val="00455499"/>
    <w:rsid w:val="00472868"/>
    <w:rsid w:val="0047372A"/>
    <w:rsid w:val="004D090F"/>
    <w:rsid w:val="004E55C9"/>
    <w:rsid w:val="00500028"/>
    <w:rsid w:val="005113C3"/>
    <w:rsid w:val="005231F0"/>
    <w:rsid w:val="0057622D"/>
    <w:rsid w:val="005A4AD8"/>
    <w:rsid w:val="005C56B8"/>
    <w:rsid w:val="005E0FDE"/>
    <w:rsid w:val="005F0163"/>
    <w:rsid w:val="00632CB4"/>
    <w:rsid w:val="00635755"/>
    <w:rsid w:val="006612E8"/>
    <w:rsid w:val="006650A7"/>
    <w:rsid w:val="0068069C"/>
    <w:rsid w:val="00693033"/>
    <w:rsid w:val="006C6DB0"/>
    <w:rsid w:val="006C6F5C"/>
    <w:rsid w:val="007114CD"/>
    <w:rsid w:val="00717EAC"/>
    <w:rsid w:val="007408F3"/>
    <w:rsid w:val="00750B84"/>
    <w:rsid w:val="00755458"/>
    <w:rsid w:val="00762448"/>
    <w:rsid w:val="00783A08"/>
    <w:rsid w:val="007914A3"/>
    <w:rsid w:val="007B3E65"/>
    <w:rsid w:val="007C04CA"/>
    <w:rsid w:val="007C63C7"/>
    <w:rsid w:val="00821629"/>
    <w:rsid w:val="00842BDA"/>
    <w:rsid w:val="00846032"/>
    <w:rsid w:val="00894A97"/>
    <w:rsid w:val="0089663C"/>
    <w:rsid w:val="008D2DF5"/>
    <w:rsid w:val="0091668B"/>
    <w:rsid w:val="009211A2"/>
    <w:rsid w:val="00932978"/>
    <w:rsid w:val="009407D7"/>
    <w:rsid w:val="00972A8F"/>
    <w:rsid w:val="00974FA0"/>
    <w:rsid w:val="009F73C6"/>
    <w:rsid w:val="00A3415E"/>
    <w:rsid w:val="00A37191"/>
    <w:rsid w:val="00A37671"/>
    <w:rsid w:val="00A42148"/>
    <w:rsid w:val="00AA03FD"/>
    <w:rsid w:val="00AB0227"/>
    <w:rsid w:val="00AF0E23"/>
    <w:rsid w:val="00B07468"/>
    <w:rsid w:val="00B17A5A"/>
    <w:rsid w:val="00B40BC1"/>
    <w:rsid w:val="00B51561"/>
    <w:rsid w:val="00B62736"/>
    <w:rsid w:val="00BE1FD2"/>
    <w:rsid w:val="00C0003C"/>
    <w:rsid w:val="00C00EF5"/>
    <w:rsid w:val="00C0397D"/>
    <w:rsid w:val="00C360EA"/>
    <w:rsid w:val="00C42F5D"/>
    <w:rsid w:val="00CE3A3B"/>
    <w:rsid w:val="00CE466C"/>
    <w:rsid w:val="00D04F3C"/>
    <w:rsid w:val="00D32CB7"/>
    <w:rsid w:val="00D35DE3"/>
    <w:rsid w:val="00D45C99"/>
    <w:rsid w:val="00D475F0"/>
    <w:rsid w:val="00D6014D"/>
    <w:rsid w:val="00D643C8"/>
    <w:rsid w:val="00D81D21"/>
    <w:rsid w:val="00DB2267"/>
    <w:rsid w:val="00DE62BC"/>
    <w:rsid w:val="00E06D6F"/>
    <w:rsid w:val="00E1435B"/>
    <w:rsid w:val="00E25069"/>
    <w:rsid w:val="00E447A5"/>
    <w:rsid w:val="00E463D6"/>
    <w:rsid w:val="00E950D4"/>
    <w:rsid w:val="00E972EE"/>
    <w:rsid w:val="00EC0D96"/>
    <w:rsid w:val="00ED31EB"/>
    <w:rsid w:val="00EE60CE"/>
    <w:rsid w:val="00EF7BB9"/>
    <w:rsid w:val="00F07C3D"/>
    <w:rsid w:val="00F538A2"/>
    <w:rsid w:val="00F61BDA"/>
    <w:rsid w:val="00F67AE7"/>
    <w:rsid w:val="00F93502"/>
    <w:rsid w:val="00FD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535D0CC8-5D51-4868-8881-16DE8EE8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7A5"/>
    <w:pPr>
      <w:tabs>
        <w:tab w:val="center" w:pos="4680"/>
        <w:tab w:val="right" w:pos="9360"/>
      </w:tabs>
    </w:pPr>
  </w:style>
  <w:style w:type="character" w:customStyle="1" w:styleId="HeaderChar">
    <w:name w:val="Header Char"/>
    <w:basedOn w:val="DefaultParagraphFont"/>
    <w:link w:val="Header"/>
    <w:uiPriority w:val="99"/>
    <w:rsid w:val="00E447A5"/>
  </w:style>
  <w:style w:type="paragraph" w:styleId="Footer">
    <w:name w:val="footer"/>
    <w:basedOn w:val="Normal"/>
    <w:link w:val="FooterChar"/>
    <w:uiPriority w:val="99"/>
    <w:unhideWhenUsed/>
    <w:rsid w:val="00E447A5"/>
    <w:pPr>
      <w:tabs>
        <w:tab w:val="center" w:pos="4680"/>
        <w:tab w:val="right" w:pos="9360"/>
      </w:tabs>
    </w:pPr>
  </w:style>
  <w:style w:type="character" w:customStyle="1" w:styleId="FooterChar">
    <w:name w:val="Footer Char"/>
    <w:basedOn w:val="DefaultParagraphFont"/>
    <w:link w:val="Footer"/>
    <w:uiPriority w:val="99"/>
    <w:rsid w:val="00E447A5"/>
  </w:style>
  <w:style w:type="paragraph" w:styleId="ListParagraph">
    <w:name w:val="List Paragraph"/>
    <w:basedOn w:val="Normal"/>
    <w:uiPriority w:val="34"/>
    <w:qFormat/>
    <w:rsid w:val="00E972EE"/>
    <w:pPr>
      <w:ind w:left="720"/>
      <w:contextualSpacing/>
    </w:pPr>
  </w:style>
  <w:style w:type="table" w:styleId="TableGrid">
    <w:name w:val="Table Grid"/>
    <w:basedOn w:val="TableNormal"/>
    <w:uiPriority w:val="59"/>
    <w:rsid w:val="0068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14A3"/>
    <w:rPr>
      <w:color w:val="0000FF" w:themeColor="hyperlink"/>
      <w:u w:val="single"/>
    </w:rPr>
  </w:style>
  <w:style w:type="character" w:styleId="FollowedHyperlink">
    <w:name w:val="FollowedHyperlink"/>
    <w:basedOn w:val="DefaultParagraphFont"/>
    <w:uiPriority w:val="99"/>
    <w:semiHidden/>
    <w:unhideWhenUsed/>
    <w:rsid w:val="007914A3"/>
    <w:rPr>
      <w:color w:val="800080" w:themeColor="followedHyperlink"/>
      <w:u w:val="single"/>
    </w:rPr>
  </w:style>
  <w:style w:type="paragraph" w:styleId="BalloonText">
    <w:name w:val="Balloon Text"/>
    <w:basedOn w:val="Normal"/>
    <w:link w:val="BalloonTextChar"/>
    <w:uiPriority w:val="99"/>
    <w:semiHidden/>
    <w:unhideWhenUsed/>
    <w:rsid w:val="00F538A2"/>
    <w:rPr>
      <w:rFonts w:ascii="Tahoma" w:hAnsi="Tahoma" w:cs="Tahoma"/>
      <w:sz w:val="16"/>
      <w:szCs w:val="16"/>
    </w:rPr>
  </w:style>
  <w:style w:type="character" w:customStyle="1" w:styleId="BalloonTextChar">
    <w:name w:val="Balloon Text Char"/>
    <w:basedOn w:val="DefaultParagraphFont"/>
    <w:link w:val="BalloonText"/>
    <w:uiPriority w:val="99"/>
    <w:semiHidden/>
    <w:rsid w:val="00F538A2"/>
    <w:rPr>
      <w:rFonts w:ascii="Tahoma" w:hAnsi="Tahoma" w:cs="Tahoma"/>
      <w:sz w:val="16"/>
      <w:szCs w:val="16"/>
    </w:rPr>
  </w:style>
  <w:style w:type="paragraph" w:customStyle="1" w:styleId="Default">
    <w:name w:val="Default"/>
    <w:rsid w:val="00C00EF5"/>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s@wsac.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sac.wa.gov/employ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A4AF-E5B3-4D24-9958-A70F7556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HECB</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marlenar</dc:creator>
  <cp:lastModifiedBy>Robbins, Marlena Rae (WSAC)</cp:lastModifiedBy>
  <cp:revision>2</cp:revision>
  <cp:lastPrinted>2012-04-17T14:48:00Z</cp:lastPrinted>
  <dcterms:created xsi:type="dcterms:W3CDTF">2015-05-07T18:33:00Z</dcterms:created>
  <dcterms:modified xsi:type="dcterms:W3CDTF">2015-05-07T18:33:00Z</dcterms:modified>
</cp:coreProperties>
</file>